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24"/>
          <w:szCs w:val="24"/>
          <w:lang w:eastAsia="sk-SK"/>
        </w:rPr>
        <w:t>Príloha č. 23 – Uvádzajúci pedagogický zamestnanec</w:t>
      </w:r>
    </w:p>
    <w:p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Style w:val="6"/>
        <w:tblW w:w="0" w:type="auto"/>
        <w:tblInd w:w="10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199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Začínajúci pedagogický zamestanec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individuálne a vývinové charakteristiky dieťaťa/žiaka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Adaptačný proces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adaptačný proces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adaptačný proces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adaptačný proces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 rolou špecialistu, školou a školským zaraideným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1. </w:t>
      </w:r>
      <w:r>
        <w:rPr>
          <w:rFonts w:ascii="Arial" w:hAnsi="Arial" w:cs="Arial"/>
          <w:b/>
          <w:sz w:val="24"/>
          <w:szCs w:val="24"/>
        </w:rPr>
        <w:t>Začínajúci pedagogický zamestanec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profesijný štandard pre príslušnú kategóriu a podkategóriu pedagogického zamestnanca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úroveň profesijných kompetencií začínajúceho pedagogického zamestnanca vo vzťahu k profesijnému štandardu a potrebám školského vzdelávacieho programu a výchovného programu školského zariadenia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akceptovať rôzne spôsoby učenia sa začínajúceho pedagogického zamestnanca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rešpektovať individualitu osobnosti začínajúceho pedagogického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6"/>
              </w:numPr>
              <w:spacing w:before="12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vyberá a používa metódy na rozpoznanie individuálnych vzdelávacích potrieb začínajúceho pedagogického zamestnanca, interpretuje výsledky diagnostiky a vyvodí závery</w:t>
            </w:r>
          </w:p>
          <w:p>
            <w:pPr>
              <w:numPr>
                <w:ilvl w:val="0"/>
                <w:numId w:val="6"/>
              </w:numPr>
              <w:spacing w:before="12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, resp.  využíva diagnostické nástroje (napr. pozorovací hárok, škála, a pod.)</w:t>
            </w:r>
          </w:p>
          <w:p>
            <w:pPr>
              <w:numPr>
                <w:ilvl w:val="0"/>
                <w:numId w:val="6"/>
              </w:numPr>
              <w:spacing w:before="12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identifikuje vzdelávacie potreby začínajúceho pedagogického zamestnanca na základe profesijného štandardu pre kariérny stupeň samostatný pedagogický zamestnanec a potrieb školského vzdelávacieho programu a výchovného programu školského zariadenia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so špecializovanými metodickými a poradenskými zariadeniami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 </w:t>
      </w:r>
      <w:r>
        <w:rPr>
          <w:rFonts w:ascii="Arial" w:hAnsi="Arial" w:cs="Arial"/>
          <w:b/>
          <w:sz w:val="24"/>
          <w:szCs w:val="24"/>
        </w:rPr>
        <w:t>Adaptačný proces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adaptačný proces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sk-SK"/>
              </w:rPr>
              <w:t>poznať teoretické východiská učenia sa dospelých</w:t>
            </w:r>
          </w:p>
          <w:p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sk-SK"/>
              </w:rPr>
              <w:t>poznať aktuálne trendy v didaktike, pedagogike a psychológii</w:t>
            </w:r>
          </w:p>
          <w:p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sk-SK"/>
              </w:rPr>
              <w:t>orientovať sa v pedagogickej dokumentácii, ďalšej dokumentácii, ostatných koncepčných a strategických dokumentoch a materiáloch školy/školského zariadenia</w:t>
            </w:r>
          </w:p>
          <w:p>
            <w:pPr>
              <w:pStyle w:val="24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sk-SK"/>
              </w:rPr>
              <w:t>poznať všeobecne záväzné právne predpisy vzťahujúce sa k výkonu práce pedagogického zamestnanca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ind w:left="304" w:hanging="283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sk-SK"/>
              </w:rPr>
              <w:t>plánovať a projektovať adaptačné vzdelávanie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sleduje plnenie programu adaptačného vzdelávania a priebežne ho upravuje podľa potrieb začínajúceho pedagogického zamestnanca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priestor začínajúcemu pedagogickému zamestnancovi na pozorovanie a analýzu vlastnej výchovno-vzdelávacej činnosti 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pozoruje a analyzuje pedagogické pôsobenie začínajúceho pedagogického zamestnanca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spätnú väzbu začínajúcemu pedagogickému zamestnancovi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poradenstvo a pomoc začínajúcemu pedagogickému zamestnancovi pri riešení pedagogických problémov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pomáha začínajúcemu pedagogickému zamestnancovi pri adaptácii (adjustácii) v pedagogickom kolektíve školy, školského zariadenia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zapája začínajúceho pedagogického zamestnanca do činnosti metodických orgánov a spolupráce s pedagogickými a odbornými zamestnancami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zapája začínajúceho pedagogického zamestnanca do aktivít spolupráce so zákonnými zástupcami detí a žiakov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pozitívnu klímu vo vzťahu k začínajúcemu pedagogickému zamestnancovi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a rozvíja kladné postoje k profesii učiteľa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adaptačný proces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0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špecifiká problémov začínajúceho pedagogického zamestnanca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metodiku pozorovania začínajúceho pedagogického zamestnanca v procese adaptácie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techniky vedenia rozhovoru, poskytovania spätnej väzby a individuálneho poradenstva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0"/>
              </w:numPr>
              <w:spacing w:before="120" w:after="120" w:line="240" w:lineRule="auto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facilitovať začínajúceho pedagogického zamestnanca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poskytovať individuálne poradenstvo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koordinovať proces adaptačného vzdelávania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priebežnú spätnú väzbu začínajúcemu pedagogickému zamestnancov  a vyhodnocuje jej účinnosť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 splnenie cieľov adaptačného vzdelávania podľa stanovených kritérií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používa rôzne druhy, formy a  spoľahlivé nástroje hodnotenia edukačného pôsobenia začínajúceho pedagogického zamestnanca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uplatňuje efektívne spôsoby komunikácie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rozvíja sebareflexiu, sebahodnotenie začínajúceho pedagogického zamestnanca v súlade s cieľmi, obsahom a úlohami adaptačného vzdelávania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začínajúcemu pedagogickému zamestnancovi podporu a oceňuje personálne, sociálne a praktické zručnosti začínajúceho pedagogického zamestnanca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 úroveň dosiahnutých kompetencií začínajúceho pedagogického zamestnanca voči požiadavkám na profesijné kompetencie samostatného pedagogického zamestnanca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priebežného hodnotenia poskytuje začínajúcemu pedagogickému zamestnancovi spoľahlivé celkové hodnotenie adaptačného procesu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adaptačný proces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0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hodnotenia pracovného výkonu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techniky poskytovania spätnej väzby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analyzovať realizáciu pedagogického pôsobenia začínajúceho pedagogického zamestnanca</w:t>
            </w:r>
          </w:p>
          <w:p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priebeh a výsledky adaptačného vzdelávania začínajúceho pedagogického zamestnanca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zostaviť záverečnú správu o ukončení adaptačného vzdelávania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 priebežne vyhodnocuje úroveň svojich špecializovaných kompetencií v kontexte profesijného štandardu</w:t>
            </w:r>
          </w:p>
          <w:p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 hodnotí vlastnú činnosť špecialistu</w:t>
            </w:r>
          </w:p>
          <w:p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spätnú väzbu od pedagogických zamestnancov a vedúcich pedagogických zamestnancov pre svoj ďalší profesijný rast a sebarozvoj</w:t>
            </w:r>
          </w:p>
          <w:p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problematiku andragogiky a pedeutológie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zákonitosti profesijného rozvoja pedagogických zamestnancov v kariérnom systéme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spôsobilosť stanoviť si ciele sebarozvoja profesijných kompetencií špecialistu uvádzajúceho pedagogického zamestnanca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 poskytuje podklady pre zapracovanie aktuálnych všeobecne záväzných právnych predpisov a metodických usmernení do interných dokumentov školy, školského zariadenia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spoluprácu pedagogických zamestnancov v oblasti optimalizácie adaptačného procesu v škole, školskom zariadení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 interných metodických materiálov, pokynov pre pedagogických a odborných zamestnancov a pod.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tvorbe a realizácii autoevalvačného plánu školy, školského zariadenia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pomoc a poradenstvo pedagogickým zamestnancom v oblasti pedagogickej diagnostiky, plánovania, realizácie a hodnotenia procesu adaptácie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pozitívne ovplyvňuje kultúru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 a školským zaraideným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poslanie a ciele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školy, školského zariadenia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rolou špecialistu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správať sa v súlade s etikou práce špecialistu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sleduje plnenie programu adaptačného vzdelávania a priebežne ho upravuje podľa potrieb začínajúceho pedagogického zamestnanca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poskytuje priestor začínajúcemu pedagogickému zamestnancovi na pozorovanie a analýzu vlastnej výchovno-vzdelávacej činnosti 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pozoruje a analyzuje pedagogické pôsobenie začínajúceho pedagogického zamestnanca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spätnú väzbu začínajúcemu pedagogickému zamestnancovi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poradenstvo a pomoc začínajúcemu pedagogickému zamestnancovi pri riešení pedagogických problémov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pomáha začínajúcemu pedagogickému zamestnancovi pri adaptácii (adjustácii) v pedagogickom kolektíve školy, školského zariadenia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zapája začínajúceho pedagogického zamestnanca do činnosti metodických orgánov a spolupráce s pedagogickými a odbornými zamestnancami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zapája začínajúceho pedagogického zamestnanca do aktivít spolupráce so zákonnými zástupcami detí a žiakov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pozitívnu klímu vo vzťahu k začínajúcemu pedagogickému zamestnancovi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a rozvíja kladné postoje k profesii učiteľa</w:t>
            </w:r>
          </w:p>
        </w:tc>
      </w:tr>
    </w:tbl>
    <w:p>
      <w:pPr>
        <w:spacing w:before="120" w:after="120" w:line="240" w:lineRule="auto"/>
      </w:pPr>
    </w:p>
    <w:sectPr>
      <w:headerReference r:id="rId6" w:type="first"/>
      <w:headerReference r:id="rId5" w:type="default"/>
      <w:footerReference r:id="rId7" w:type="default"/>
      <w:footerReference r:id="rId8" w:type="even"/>
      <w:pgSz w:w="16838" w:h="11906" w:orient="landscape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6</w:t>
    </w:r>
    <w:r>
      <w:rPr>
        <w:rStyle w:val="16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>Pokyn ministra č. 39/2017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 xml:space="preserve">Pokyn ministra č. </w:t>
    </w:r>
    <w:r>
      <w:rPr>
        <w:rFonts w:cs="Arial"/>
        <w:i/>
        <w:highlight w:val="yellow"/>
      </w:rPr>
      <w:t>[•]</w:t>
    </w:r>
    <w:r>
      <w:rPr>
        <w:rFonts w:cs="Arial"/>
        <w:i/>
      </w:rPr>
      <w:t>/2017</w:t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21E24"/>
    <w:multiLevelType w:val="multilevel"/>
    <w:tmpl w:val="04821E24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4F625F"/>
    <w:multiLevelType w:val="multilevel"/>
    <w:tmpl w:val="1B4F625F"/>
    <w:lvl w:ilvl="0" w:tentative="0">
      <w:start w:val="1"/>
      <w:numFmt w:val="decimal"/>
      <w:pStyle w:val="23"/>
      <w:lvlText w:val="Príloha č. %1: "/>
      <w:lvlJc w:val="left"/>
      <w:pPr>
        <w:tabs>
          <w:tab w:val="left" w:pos="2269"/>
        </w:tabs>
        <w:ind w:left="2269" w:hanging="1418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  <w:rPr>
        <w:rFonts w:cs="Times New Roman"/>
      </w:rPr>
    </w:lvl>
  </w:abstractNum>
  <w:abstractNum w:abstractNumId="2">
    <w:nsid w:val="23D72480"/>
    <w:multiLevelType w:val="multilevel"/>
    <w:tmpl w:val="23D72480"/>
    <w:lvl w:ilvl="0" w:tentative="0">
      <w:start w:val="1"/>
      <w:numFmt w:val="bullet"/>
      <w:lvlText w:val=""/>
      <w:lvlJc w:val="left"/>
      <w:pPr>
        <w:ind w:left="785" w:hanging="36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ind w:left="1505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3">
    <w:nsid w:val="2D640B55"/>
    <w:multiLevelType w:val="multilevel"/>
    <w:tmpl w:val="2D640B5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3D5B7D4E"/>
    <w:multiLevelType w:val="multilevel"/>
    <w:tmpl w:val="3D5B7D4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41D709C9"/>
    <w:multiLevelType w:val="multilevel"/>
    <w:tmpl w:val="41D709C9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5346C79"/>
    <w:multiLevelType w:val="multilevel"/>
    <w:tmpl w:val="55346C7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5A4C6CE8"/>
    <w:multiLevelType w:val="multilevel"/>
    <w:tmpl w:val="5A4C6CE8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C392FFC"/>
    <w:multiLevelType w:val="multilevel"/>
    <w:tmpl w:val="5C392FF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63D77840"/>
    <w:multiLevelType w:val="multilevel"/>
    <w:tmpl w:val="63D77840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64E32DE1"/>
    <w:multiLevelType w:val="multilevel"/>
    <w:tmpl w:val="64E32DE1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69C2753C"/>
    <w:multiLevelType w:val="multilevel"/>
    <w:tmpl w:val="69C2753C"/>
    <w:lvl w:ilvl="0" w:tentative="0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B9570E7"/>
    <w:multiLevelType w:val="multilevel"/>
    <w:tmpl w:val="6B9570E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7216118D"/>
    <w:multiLevelType w:val="multilevel"/>
    <w:tmpl w:val="7216118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76D93062"/>
    <w:multiLevelType w:val="multilevel"/>
    <w:tmpl w:val="76D9306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4"/>
  </w:num>
  <w:num w:numId="5">
    <w:abstractNumId w:val="13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1525"/>
    <w:rsid w:val="00030023"/>
    <w:rsid w:val="00031D57"/>
    <w:rsid w:val="00034CBE"/>
    <w:rsid w:val="00034FB2"/>
    <w:rsid w:val="00050A30"/>
    <w:rsid w:val="0006159E"/>
    <w:rsid w:val="000726D7"/>
    <w:rsid w:val="00072E2C"/>
    <w:rsid w:val="00073FBE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0F34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0E"/>
    <w:rsid w:val="00214077"/>
    <w:rsid w:val="00216BE1"/>
    <w:rsid w:val="00220CC5"/>
    <w:rsid w:val="00222126"/>
    <w:rsid w:val="00223C1B"/>
    <w:rsid w:val="002255C9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6EEF"/>
    <w:rsid w:val="0028733B"/>
    <w:rsid w:val="0029116A"/>
    <w:rsid w:val="00291E54"/>
    <w:rsid w:val="002A0E7B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24CF6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4948"/>
    <w:rsid w:val="00605359"/>
    <w:rsid w:val="00605DE8"/>
    <w:rsid w:val="00606C7A"/>
    <w:rsid w:val="00612C2D"/>
    <w:rsid w:val="00613053"/>
    <w:rsid w:val="006375E2"/>
    <w:rsid w:val="006408A2"/>
    <w:rsid w:val="00641736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1601C"/>
    <w:rsid w:val="007177B6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C13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150D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0E32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10F3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D7BA6"/>
    <w:rsid w:val="00DE29D4"/>
    <w:rsid w:val="00DE537C"/>
    <w:rsid w:val="00DE5C12"/>
    <w:rsid w:val="00E018AA"/>
    <w:rsid w:val="00E02217"/>
    <w:rsid w:val="00E0325B"/>
    <w:rsid w:val="00E04181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29FC"/>
    <w:rsid w:val="00F74765"/>
    <w:rsid w:val="00F8241A"/>
    <w:rsid w:val="00F832E6"/>
    <w:rsid w:val="00F860E4"/>
    <w:rsid w:val="00F90081"/>
    <w:rsid w:val="00FA44F5"/>
    <w:rsid w:val="00FA74EF"/>
    <w:rsid w:val="00FB20D0"/>
    <w:rsid w:val="00FB7AE6"/>
    <w:rsid w:val="00FD21F7"/>
    <w:rsid w:val="00FD2BD5"/>
    <w:rsid w:val="00FD4CE6"/>
    <w:rsid w:val="00FD4D99"/>
    <w:rsid w:val="00FE2C8E"/>
    <w:rsid w:val="265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link w:val="2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3"/>
    <w:basedOn w:val="1"/>
    <w:link w:val="2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4">
    <w:name w:val="heading 4"/>
    <w:basedOn w:val="1"/>
    <w:link w:val="2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4"/>
    <w:semiHidden/>
    <w:qFormat/>
    <w:uiPriority w:val="0"/>
    <w:pPr>
      <w:spacing w:after="0" w:line="240" w:lineRule="auto"/>
    </w:pPr>
    <w:rPr>
      <w:rFonts w:ascii="Calibri" w:hAnsi="Calibri" w:eastAsia="Calibri" w:cs="Times New Roman"/>
      <w:i/>
      <w:color w:val="FF00FF"/>
      <w:sz w:val="20"/>
      <w:lang w:val="zh-CN"/>
    </w:rPr>
  </w:style>
  <w:style w:type="character" w:styleId="9">
    <w:name w:val="annotation reference"/>
    <w:basedOn w:val="5"/>
    <w:semiHidden/>
    <w:qFormat/>
    <w:uiPriority w:val="99"/>
    <w:rPr>
      <w:rFonts w:cs="Times New Roman"/>
      <w:sz w:val="16"/>
      <w:szCs w:val="16"/>
    </w:rPr>
  </w:style>
  <w:style w:type="paragraph" w:styleId="10">
    <w:name w:val="annotation text"/>
    <w:basedOn w:val="1"/>
    <w:link w:val="28"/>
    <w:qFormat/>
    <w:uiPriority w:val="99"/>
    <w:pPr>
      <w:spacing w:after="0" w:line="240" w:lineRule="auto"/>
      <w:jc w:val="both"/>
    </w:pPr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paragraph" w:styleId="11">
    <w:name w:val="annotation subject"/>
    <w:basedOn w:val="10"/>
    <w:next w:val="10"/>
    <w:link w:val="30"/>
    <w:semiHidden/>
    <w:unhideWhenUsed/>
    <w:qFormat/>
    <w:uiPriority w:val="99"/>
    <w:pPr>
      <w:spacing w:after="200"/>
      <w:jc w:val="left"/>
    </w:pPr>
    <w:rPr>
      <w:rFonts w:asciiTheme="minorHAnsi" w:hAnsiTheme="minorHAnsi" w:eastAsiaTheme="minorHAnsi" w:cstheme="minorBidi"/>
      <w:b/>
      <w:bCs/>
      <w:color w:val="auto"/>
      <w:lang w:eastAsia="en-US"/>
    </w:rPr>
  </w:style>
  <w:style w:type="paragraph" w:styleId="12">
    <w:name w:val="footer"/>
    <w:basedOn w:val="1"/>
    <w:link w:val="22"/>
    <w:qFormat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character" w:styleId="13">
    <w:name w:val="footnote reference"/>
    <w:semiHidden/>
    <w:unhideWhenUsed/>
    <w:qFormat/>
    <w:uiPriority w:val="99"/>
    <w:rPr>
      <w:vertAlign w:val="superscript"/>
    </w:rPr>
  </w:style>
  <w:style w:type="paragraph" w:styleId="14">
    <w:name w:val="header"/>
    <w:basedOn w:val="1"/>
    <w:link w:val="2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basedOn w:val="5"/>
    <w:unhideWhenUsed/>
    <w:qFormat/>
    <w:uiPriority w:val="99"/>
    <w:rPr>
      <w:color w:val="0000FF"/>
      <w:u w:val="single"/>
    </w:rPr>
  </w:style>
  <w:style w:type="character" w:styleId="16">
    <w:name w:val="page number"/>
    <w:basedOn w:val="5"/>
    <w:qFormat/>
    <w:uiPriority w:val="99"/>
    <w:rPr>
      <w:rFonts w:cs="Times New Roman"/>
    </w:rPr>
  </w:style>
  <w:style w:type="table" w:styleId="1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unhideWhenUsed/>
    <w:qFormat/>
    <w:uiPriority w:val="39"/>
    <w:pPr>
      <w:spacing w:after="100"/>
    </w:pPr>
  </w:style>
  <w:style w:type="paragraph" w:styleId="19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0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customStyle="1" w:styleId="21">
    <w:name w:val="Hlavička Char"/>
    <w:basedOn w:val="5"/>
    <w:link w:val="14"/>
    <w:qFormat/>
    <w:uiPriority w:val="99"/>
  </w:style>
  <w:style w:type="character" w:customStyle="1" w:styleId="22">
    <w:name w:val="Päta Char"/>
    <w:basedOn w:val="5"/>
    <w:link w:val="12"/>
    <w:qFormat/>
    <w:uiPriority w:val="99"/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customStyle="1" w:styleId="23">
    <w:name w:val="priloha"/>
    <w:basedOn w:val="1"/>
    <w:qFormat/>
    <w:uiPriority w:val="0"/>
    <w:pPr>
      <w:numPr>
        <w:ilvl w:val="0"/>
        <w:numId w:val="1"/>
      </w:numPr>
      <w:tabs>
        <w:tab w:val="left" w:pos="1418"/>
      </w:tabs>
      <w:spacing w:after="120" w:line="240" w:lineRule="auto"/>
      <w:ind w:left="1418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Nadpis 1 Char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26">
    <w:name w:val="Nadpis 3 Char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customStyle="1" w:styleId="27">
    <w:name w:val="Nadpis 4 Char"/>
    <w:basedOn w:val="5"/>
    <w:link w:val="4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customStyle="1" w:styleId="28">
    <w:name w:val="Text komentára Char"/>
    <w:basedOn w:val="5"/>
    <w:link w:val="10"/>
    <w:qFormat/>
    <w:uiPriority w:val="99"/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character" w:customStyle="1" w:styleId="29">
    <w:name w:val="Text bubliny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0">
    <w:name w:val="Predmet komentára Char"/>
    <w:basedOn w:val="28"/>
    <w:link w:val="11"/>
    <w:semiHidden/>
    <w:qFormat/>
    <w:uiPriority w:val="99"/>
    <w:rPr>
      <w:rFonts w:ascii="Arial" w:hAnsi="Arial" w:eastAsia="Times New Roman" w:cs="Times New Roman"/>
      <w:b/>
      <w:bCs/>
      <w:color w:val="000000"/>
      <w:sz w:val="20"/>
      <w:szCs w:val="20"/>
      <w:lang w:eastAsia="sk-SK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customStyle="1" w:styleId="3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sk-SK" w:eastAsia="sk-SK" w:bidi="ar-SA"/>
    </w:rPr>
  </w:style>
  <w:style w:type="table" w:customStyle="1" w:styleId="33">
    <w:name w:val="Mriežka tabuľky1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Základný text 2 Char"/>
    <w:basedOn w:val="5"/>
    <w:link w:val="8"/>
    <w:semiHidden/>
    <w:qFormat/>
    <w:uiPriority w:val="0"/>
    <w:rPr>
      <w:rFonts w:ascii="Calibri" w:hAnsi="Calibri" w:eastAsia="Calibri" w:cs="Times New Roman"/>
      <w:i/>
      <w:color w:val="FF00FF"/>
      <w:sz w:val="20"/>
      <w:lang w:val="zh-CN"/>
    </w:rPr>
  </w:style>
  <w:style w:type="paragraph" w:customStyle="1" w:styleId="35">
    <w:name w:val="Odstavec se seznamem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C3F7-B2B7-4E2F-92DE-4008E31F5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1205</Words>
  <Characters>6870</Characters>
  <Lines>57</Lines>
  <Paragraphs>16</Paragraphs>
  <TotalTime>1</TotalTime>
  <ScaleCrop>false</ScaleCrop>
  <LinksUpToDate>false</LinksUpToDate>
  <CharactersWithSpaces>8059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2023-11-07T07:18:00Z</dcterms:created>
  <dc:creator>Giba Tomáš</dc:creator>
  <cp:lastModifiedBy>Katarína Bugáňová</cp:lastModifiedBy>
  <cp:lastPrinted>2017-01-03T10:45:00Z</cp:lastPrinted>
  <dcterms:modified xsi:type="dcterms:W3CDTF">2024-01-07T20:47:24Z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9878E968C67940BB913E5936913B70BC_13</vt:lpwstr>
  </property>
</Properties>
</file>