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sk-SK"/>
        </w:rPr>
        <w:t>Príloha č. 34 – Vedúci pedagogický zamestnanec – zástupca riaditeľa</w:t>
      </w:r>
    </w:p>
    <w:p>
      <w:pPr>
        <w:pStyle w:val="31"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Style w:val="6"/>
        <w:tblW w:w="0" w:type="auto"/>
        <w:tblInd w:w="108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1077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773" w:type="dxa"/>
            <w:shd w:val="clear" w:color="auto" w:fill="auto"/>
          </w:tcPr>
          <w:p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773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ekonomiku a prevádzku školy, školského zariadenia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Koncepčne riadiť školu, školské zariadenie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773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realizáciu školského vzdelávacieho programu, výchovného programu školského zariadenia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773" w:type="dxa"/>
          </w:tcPr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Tvoriť a realizovať personálnu stratégiu v škole, školskom zariadení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procesy hodnotenia a odmeňovania zamestnancov školy. školského zariadenia</w:t>
            </w:r>
          </w:p>
          <w:p>
            <w:pPr>
              <w:pStyle w:val="24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profesijný rozvoj pedagogických zamestnancov a odborných zamestnancov školy, školského zariadenia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773" w:type="dxa"/>
          </w:tcPr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>
            <w:pPr>
              <w:pStyle w:val="24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rolou zástupcu riaditeľa školy školského zariadenia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1. </w:t>
      </w:r>
      <w:r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platné právne predpisy týkajúce sa procesov riadenia, rozhodovania, ekonomiky a prevádzky v škole, v školskom zariadení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platné právne predpisy v procesoch riadenia a rozhodovania v oblastiach delegovaných právomocí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a aktualizuje interné školské normy (školský poriadok, smernice a pod.)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riešení pracovno-právnych vzťahov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riešení výchovných problémov, vzťahov so žiakmi a ich zákonnými zástupcami (napr. postupnosť výchovných opatrení, individuálne formy štúdia)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platné právne predpisy a nariadenia týkajúce sa financovania, ekonomického riadenia a správy majetku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platné právne predpisy týkajúce sa BOZP, PO, CO a pod. v podmienkach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aplikovať platné právne predpisy v procesoch ekonomického a administratívneho riadenia , riadenia prevádzky a správy majetku 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vytvoriť rozpočet školy, školského zariadenia a riadiť jeho čerpanie 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interné normy v oblasti financovania, ekonomického, administratívneho a personálneho riadenia a správy majetku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efektívny systém finančnej kontroly v škole a školskom zariadení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činnosť nepedagogických zamestnancov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rozpočet vo vzťahu k personálnym, prevádzkovým a rozvojovým potrebám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a hodnotí čerpanie rozpočtu z hľadiska účelnosti, účinnosti, efektívnosti a hospodárnosti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vyhľadáva zdroje na podporu aktivít a rozvoj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spravuje (eviduje, inventarizuje, obnovuje, vyraďuje, chráni) majetok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kontroluje dodržiavanie právnych noriem a interných smerníc v oblastiach ekonomiky a prevádzky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zabezpečuje bezpečné a hygienicky vyhovujúce prostredie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vnútorné predpisy školy (mzdový poriadok, smernicu o vedení účtovníctva, smernicu o sociálnom fonde a pod.)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vnútorné predpisy školy (napr. pracovný poriadok, kolektívnu zmluvu, mzdový poriadok, smernicu o vedení účtovníctva, smernicu o sociálnom fonde a pod.)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vedie personálnu agendu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a organizačne zabezpečuje chod a prevádzku školy, školského zariadenia (napr. bežnú údržbu)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>Koncepčne riadiť školu, školské zariadenie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štátnu a regionálnu školskú politiku, európske trendy vo vzdelávaní a riadení škôl, školských zariadení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koncepčného, strategického riadenia školy, školského zariadenia 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základy rozvoja kultúry a klímy v škole, školskom zariadení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projektového 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rozvíjať hodnotový systém a kultúru školy, 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pri tvorbe a realizácii koncepčného zámeru rozvoja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projekty reflektujúce ciele rozvoja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riadení školy, školského zariadenia v súlade s hodnotami, víziou a poslaním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externé a interné prostredie školy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koncepčného zámeru rozvoja školy, školského zariadenia v súlade s potrebami regiónu, školskej komunity a sociálnych partnerov školy, 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realizačné plány na dosiahnutie dlhodobých cieľov, v určených časových intervaloch vyhodnocuje ich plnenie a navrhuje korekcie a nápravné opatrenia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tvorbe, riadení a hodnotení realizácie plánu práce školy, školského zariadenia (organizuje prijímacie konanie, maturitné skúšky a pod.)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vyhľadáva partnerov školy, školského zariadenia (zákonní zástupcovia, zamestnávatelia, Centrum pedagogického poradenstva a prevencie, neziskové organizácie, obec a iní) a spolupracuje s nimi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rozvíja kultúru a klímu školy, školského zariadenia v súlade s deklarovanými hodnotami a poslaním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analyzuje a vytvára efektívny informačný systém školy, školského zariadenia</w:t>
            </w:r>
          </w:p>
        </w:tc>
      </w:tr>
    </w:tbl>
    <w:p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2. </w:t>
      </w:r>
      <w:r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metodiku tvorby školského vzdelávacieho programu a výchovného programu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tvorbu a rozvoj školského vzdelávacieho programu a výchovného programu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navrhovať zdroje na realizáciu školského vzdelávacieho programu a výchovného programu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formulovaní kritérií kvality a pedagogických cieľov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proces výberu výchovných a vzdelávacích stratégií zabezpečujúcich rozvoj kompetencií dieťaťa/žiaka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úpravy školského vzdelávacieho programu a výchovného programu školského zariadenia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prácu tímov tvoriacich školský vzdelávací program, výchovný program školského zariadenia tak, aby:</w:t>
            </w:r>
          </w:p>
          <w:p>
            <w:pPr>
              <w:numPr>
                <w:ilvl w:val="1"/>
                <w:numId w:val="5"/>
              </w:numPr>
              <w:spacing w:before="120" w:after="120" w:line="240" w:lineRule="auto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v súlade so štátnym vzdelávacím programom,</w:t>
            </w:r>
          </w:p>
          <w:p>
            <w:pPr>
              <w:numPr>
                <w:ilvl w:val="1"/>
                <w:numId w:val="5"/>
              </w:numPr>
              <w:spacing w:before="120" w:after="120" w:line="240" w:lineRule="auto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v súlade s koncepciou rozvoja školy, školského zariadenia,</w:t>
            </w:r>
          </w:p>
          <w:p>
            <w:pPr>
              <w:numPr>
                <w:ilvl w:val="1"/>
                <w:numId w:val="5"/>
              </w:numPr>
              <w:spacing w:before="120" w:after="120" w:line="240" w:lineRule="auto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zohľadňoval potreby detí/žiakov, ich zákonných zástupcov, škôl vyššieho typu , zamestnávateľov a iných relevantných subjektov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funkcie poradných a metodických orgánov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výchovy, vzdelávania a riešenia problémov detí/žiakov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kľúčové procesy potrebné na realizáciu školského vzdelávacieho programu, výchovného programu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 výchovného programu školského zariadenia,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podmienky a zabezpečiť potrebné zdroje na realizáciu školského vzdelávacieho programu, výchovného programu školského zariadenia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vytvárať a riadiť poradné orgány a pracovné skupiny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organizuje a zabezpečujevýchovno-vzdelávaciu činnosť  a mimovyučovacie aktivity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monitoruje procesy vedúce k žiadanej kvalite výchovy a vzdelávania v podmienkach školy, 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 podporuje efektívnu výmenu skúseností, vzájomné učenie sa pedagogických a odborných zamestnancov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 analyzuje a vyhodnocujevýchovno-vzdelávaciu činnosť , realizuje (iniciuje) potrebné korekcie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pripravuje a realizuje pedagogické pozorovanie vyučovacej hodiny (jednotky), analyzuje ju a poskytuje spätnú väzbu pedagogickému zamestnancovi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komunikuje so žiakmi a zákonnými zástupcami detí/žiakov a ostatnými partnermi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podmienky a riadi prácu poradných orgánov, špecialistov a pracovných skupín na úrovni školy, 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koordinuje spoluprácu pedagogických a odborných zamestnancov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 podmienky na realizáciu školského vzdelávacieho programu, výchovného programu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rieši aktuálne pedagogické situácie na úrovni školy, školského zariadenia, poskytuje pomoc a poradenstvo pedagogickým a odborným zamestnancom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2.3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tvoriť ciele a kritériá hodnotenia kvality procesov a výsledkov výchovy a vzdelávania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vytvoriť plán autoevalvácie školského vzdelávacieho programu a výchovného programu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zhromažďovať a analyzovať zozbierané údaje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navrhnúť korekcie a zmeny v školskom vzdelávacom programe a výchovnom programe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spolupráci so zamestnancami navrhuje oblasti a ciele autoevalvácie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autoevalvačný plán v určených oblastiach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vyberá a využíva vhodné metódy autoevalvácie vo vzťahu k cieľom a indikátorom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resp. tvorí nástroje autoevalvácie vo vzťahu k cieľom a indikátorom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prácu autoevalvačných tímov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zistení navrhuje opatrenia vo vzťahu k cieľom autoevalvácie a procesom výchovy a vzdelávania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</w:p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riadenia a rozvoja ľudských zdrojov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profesijné štandardy pedagogických a odborných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realizovať personálnu stratégiu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riadiť personálnu administratívu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profesijné štandardy v personálnom riadení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realizuje prvky personálnej stratégie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definovaní kompetencií pedagogických a odborných zamestnancov vychádzajúcich z:</w:t>
            </w:r>
          </w:p>
          <w:p>
            <w:pPr>
              <w:numPr>
                <w:ilvl w:val="1"/>
                <w:numId w:val="6"/>
              </w:numPr>
              <w:spacing w:before="120" w:after="120" w:line="240" w:lineRule="auto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profesijných štandardov,</w:t>
            </w:r>
          </w:p>
          <w:p>
            <w:pPr>
              <w:numPr>
                <w:ilvl w:val="1"/>
                <w:numId w:val="6"/>
              </w:numPr>
              <w:spacing w:before="120" w:after="120" w:line="240" w:lineRule="auto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>
            <w:pPr>
              <w:numPr>
                <w:ilvl w:val="1"/>
                <w:numId w:val="6"/>
              </w:numPr>
              <w:spacing w:before="120" w:after="120" w:line="240" w:lineRule="auto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potrieb rozvoja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kritériá pre výber pedagogických a odborných zamestnancov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plánuje ľudské zdroje s dôrazom na potreby školského vzdelávacieho programu, výchovného programu školského zariadenia a rozvoj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 podporuje spoluprácu a výmenu skúseností zamestnancov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 a podporuje aktivity, ktoré prispievajú k dobrým vzťahom v kolektíve a príslušnosti k organizácii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riadi proces adaptácie nových pedagogických a odborných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školy.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a všeobecne záväzné právne predpisy týkajúce sa hodnotenia a odmeňovania zamestnancov a odmeňovania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pri tvorbe systému hodnotenia zamestnancov v škole, školskom zariadení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pri tvorbe systému odmeňovania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spolupráci so zamestnancami formuluje ciele a oblasti hodnotenia pracovného výkonu zamestnancov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kritéria hodnotenia pracovného výkonu zamestnancov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vyberá primerané metódy hodnotenia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vyberá, resp. vytvára nástroje hodnotenia a sebahodnotenia zamestnancov vo vzťahu ku kritériám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pri vymedzení zásad hodnotiacich rozhovorov 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realizuje hodnotiace rozhovory, v rámci ktorých podporuje sebareflexiu a rozvoj sebahodnotenia zamestnancov, poskytuje zamestnancom spätnú väzbu a vyjadruje očakávania voči zamestnancovi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zdieľanú sebareflexiu v rámci poradných orgánov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zamestnancom očakávanú podporu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výsledky hodnotenia na rozvoj kompetencií a motiváciu zamestnancov 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zohľadňuje výsledky hodnotenia v návrhoch na odmeňovanie a oceňovanie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3.3 </w:t>
            </w:r>
            <w:r>
              <w:rPr>
                <w:rFonts w:ascii="Arial" w:hAnsi="Arial" w:cs="Arial"/>
                <w:b/>
                <w:sz w:val="24"/>
                <w:szCs w:val="24"/>
              </w:rPr>
              <w:t>Riadiť profesijný rozvoj pedagogických zamestnancov a odborných zamestnancov školy,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 a všeobecne záväzné právne predpisy týkajúce sa profesijného rozvoja zamestnancov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analyzovať vzdelávacie potreby zamestnancov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pri tvorbe stratégie profesijného rozvoja pedagogických a odborných zamestnancov 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 vzdelávania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identifikuje rozvojové potreby pedagogických a odborných zamestnancov vyplývajúce:</w:t>
            </w:r>
          </w:p>
          <w:p>
            <w:pPr>
              <w:numPr>
                <w:ilvl w:val="1"/>
                <w:numId w:val="7"/>
              </w:numPr>
              <w:spacing w:before="120" w:after="120" w:line="240" w:lineRule="auto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 potrieb školského vzdelávacieho programu, výchovného programu školského zariadenia, </w:t>
            </w:r>
          </w:p>
          <w:p>
            <w:pPr>
              <w:numPr>
                <w:ilvl w:val="1"/>
                <w:numId w:val="7"/>
              </w:numPr>
              <w:spacing w:before="120" w:after="120" w:line="240" w:lineRule="auto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požiadaviek na úroveň kompetencií pedagogických a odborných zamestnancov,</w:t>
            </w:r>
          </w:p>
          <w:p>
            <w:pPr>
              <w:numPr>
                <w:ilvl w:val="1"/>
                <w:numId w:val="7"/>
              </w:numPr>
              <w:spacing w:before="120" w:after="120" w:line="240" w:lineRule="auto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 hodnotenia pedagogických a odborných zamestnancov a z individuálnych potrieb zamestnancov,</w:t>
            </w:r>
          </w:p>
          <w:p>
            <w:pPr>
              <w:numPr>
                <w:ilvl w:val="1"/>
                <w:numId w:val="7"/>
              </w:numPr>
              <w:spacing w:before="120" w:after="120" w:line="240" w:lineRule="auto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aktuálnych problémov výchovy a vzdelávania v škole, školskom zariadení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navrhuje priority realizácie rozvojových aktivít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a odborných zamestnancov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program, koordinuje a monitoruje priebeh adaptačného vzdelávania začínajúcich pedagogických zamestnancov a odborných zamestnancov s dôrazom na dosiahnutie kompetencií samostatného pedagogického zamestnanca a samostatného odborného zamestnanca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vzájomné učenie sa pedagogických a odborných zamestnancov, oceňuje dobrú prax a dosiahnuté výsledky vo výchove a vzdelávaní</w:t>
            </w:r>
          </w:p>
        </w:tc>
      </w:tr>
    </w:tbl>
    <w:p>
      <w:pPr>
        <w:spacing w:before="120" w:after="120" w:line="240" w:lineRule="auto"/>
        <w:rPr>
          <w:rFonts w:ascii="Arial" w:hAnsi="Arial" w:eastAsia="Times New Roman" w:cs="Arial"/>
          <w:b/>
          <w:sz w:val="24"/>
          <w:szCs w:val="24"/>
          <w:lang w:eastAsia="sk-SK"/>
        </w:rPr>
      </w:pPr>
      <w:r>
        <w:rPr>
          <w:rFonts w:ascii="Arial" w:hAnsi="Arial" w:eastAsia="Times New Roman" w:cs="Arial"/>
          <w:b/>
          <w:sz w:val="24"/>
          <w:szCs w:val="24"/>
          <w:lang w:eastAsia="sk-SK"/>
        </w:rPr>
        <w:t xml:space="preserve">Oblasť 4.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4.1 </w:t>
            </w:r>
            <w:r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pri tvorbe systému motivácie zamestnancov školy, 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kriticky hodnotiť a riešiť konflikty a záťažové situácie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zostaviť a viesť skupiny a tímy, vytvárať vzťahy založené na vzájomnom rešpekte a dôvere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odbornú komunikáciu a vzájomné učenie sa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neprehliada a včas rieši konflikty a záťažové situácie v škole, školskom zariadení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primerane využíva rôzne štýly vedenia ľudí 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spoločnosti, trendy v oblasti výchovy a vzdelávania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školského manažmentu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prijímať kritiku a akceptovať návrhy od iných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určiť si a napĺňať ciele a stratégie svojho profesijného rozvoja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 priebežne vyhodnocuje úroveň svojich profesijných a osobnostných kompetencií vo vzťahu k profesijnému štandardu vedúceho pedagogického zamestnanca a potrebám rozvoja školy, školského zariadenia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sebarozvoj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tvorí a realizuje svojho plán osobného a profesijného rozvoja (rastu)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4" w:type="dxa"/>
            <w:gridSpan w:val="2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sk-SK"/>
              </w:rPr>
              <w:t xml:space="preserve">Kompetencia: 4.3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rolou zástupcu riaditeľa školy školského zariadenia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 rolou zástupcu riaditeľa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udržiavať profesijnú etiku na vysokej úrovni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prijať záväzok za rozvoj zamestnancov a rozvoj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efektívne komunikovať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before="120" w:after="120" w:line="240" w:lineRule="auto"/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hAnsi="Arial" w:eastAsia="Times New Roman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vystupuje ako vzor hodnôt, kultivovaného a etického správania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zvláda náročné záťažové situácie, časový manažment, dodržiava psychohygienické zásady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komunikuje so zákonnými zástupcami detí/žiakov, partnermi školy, školského zariadenia</w:t>
            </w:r>
          </w:p>
          <w:p>
            <w:pPr>
              <w:pStyle w:val="24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vystupuje ako reprezentant profesie a školy, školského zariadenia vo vzťahu k školskej komunite a partnerom</w:t>
            </w:r>
          </w:p>
        </w:tc>
      </w:tr>
    </w:tbl>
    <w:p>
      <w:pPr>
        <w:spacing w:before="120" w:after="120" w:line="240" w:lineRule="auto"/>
      </w:pPr>
    </w:p>
    <w:sectPr>
      <w:headerReference r:id="rId6" w:type="first"/>
      <w:headerReference r:id="rId5" w:type="default"/>
      <w:footerReference r:id="rId7" w:type="default"/>
      <w:footerReference r:id="rId8" w:type="even"/>
      <w:pgSz w:w="16838" w:h="11906" w:orient="landscape"/>
      <w:pgMar w:top="1417" w:right="1417" w:bottom="1417" w:left="141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>Pokyn ministra č. 39/2017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cs="Arial"/>
        <w:i/>
      </w:rPr>
    </w:pPr>
    <w:r>
      <w:rPr>
        <w:rFonts w:cs="Arial"/>
        <w:i/>
      </w:rPr>
      <w:t xml:space="preserve">Pokyn ministra č. </w:t>
    </w:r>
    <w:r>
      <w:rPr>
        <w:rFonts w:cs="Arial"/>
        <w:i/>
        <w:highlight w:val="yellow"/>
      </w:rPr>
      <w:t>[•]</w:t>
    </w:r>
    <w:r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27785A"/>
    <w:multiLevelType w:val="multilevel"/>
    <w:tmpl w:val="0027785A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4F625F"/>
    <w:multiLevelType w:val="multilevel"/>
    <w:tmpl w:val="1B4F625F"/>
    <w:lvl w:ilvl="0" w:tentative="0">
      <w:start w:val="1"/>
      <w:numFmt w:val="decimal"/>
      <w:pStyle w:val="23"/>
      <w:lvlText w:val="Príloha č. %1: "/>
      <w:lvlJc w:val="left"/>
      <w:pPr>
        <w:tabs>
          <w:tab w:val="left" w:pos="2269"/>
        </w:tabs>
        <w:ind w:left="2269" w:hanging="1418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  <w:rPr>
        <w:rFonts w:cs="Times New Roman"/>
      </w:rPr>
    </w:lvl>
  </w:abstractNum>
  <w:abstractNum w:abstractNumId="2">
    <w:nsid w:val="22E156CF"/>
    <w:multiLevelType w:val="multilevel"/>
    <w:tmpl w:val="22E156CF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24C463F"/>
    <w:multiLevelType w:val="multilevel"/>
    <w:tmpl w:val="324C463F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4C93940"/>
    <w:multiLevelType w:val="multilevel"/>
    <w:tmpl w:val="34C93940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1765800"/>
    <w:multiLevelType w:val="multilevel"/>
    <w:tmpl w:val="51765800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DD76781"/>
    <w:multiLevelType w:val="multilevel"/>
    <w:tmpl w:val="7DD76781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E5023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87CA5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36C7F"/>
    <w:rsid w:val="00340B72"/>
    <w:rsid w:val="00341260"/>
    <w:rsid w:val="003540C0"/>
    <w:rsid w:val="0035462C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37EF2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566A7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163"/>
    <w:rsid w:val="005F6DA5"/>
    <w:rsid w:val="00605DE8"/>
    <w:rsid w:val="00606C7A"/>
    <w:rsid w:val="00612C2D"/>
    <w:rsid w:val="00613053"/>
    <w:rsid w:val="00632F29"/>
    <w:rsid w:val="006334F6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802CDC"/>
    <w:rsid w:val="00816EF2"/>
    <w:rsid w:val="00816F45"/>
    <w:rsid w:val="00825367"/>
    <w:rsid w:val="008278F6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179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774E1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63A4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3797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382"/>
    <w:rsid w:val="00DE5C12"/>
    <w:rsid w:val="00DF2F50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618EE"/>
    <w:rsid w:val="00E640C1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2769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1458"/>
    <w:rsid w:val="00FF39C4"/>
    <w:rsid w:val="318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styleId="2">
    <w:name w:val="heading 1"/>
    <w:basedOn w:val="1"/>
    <w:link w:val="2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paragraph" w:styleId="3">
    <w:name w:val="heading 3"/>
    <w:basedOn w:val="1"/>
    <w:link w:val="2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paragraph" w:styleId="4">
    <w:name w:val="heading 4"/>
    <w:basedOn w:val="1"/>
    <w:link w:val="27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4"/>
    <w:semiHidden/>
    <w:uiPriority w:val="0"/>
    <w:pPr>
      <w:spacing w:after="0" w:line="240" w:lineRule="auto"/>
    </w:pPr>
    <w:rPr>
      <w:rFonts w:ascii="Calibri" w:hAnsi="Calibri" w:eastAsia="Calibri" w:cs="Times New Roman"/>
      <w:i/>
      <w:color w:val="FF00FF"/>
      <w:sz w:val="20"/>
      <w:lang w:val="zh-CN"/>
    </w:rPr>
  </w:style>
  <w:style w:type="character" w:styleId="9">
    <w:name w:val="annotation reference"/>
    <w:basedOn w:val="5"/>
    <w:semiHidden/>
    <w:qFormat/>
    <w:uiPriority w:val="99"/>
    <w:rPr>
      <w:rFonts w:cs="Times New Roman"/>
      <w:sz w:val="16"/>
      <w:szCs w:val="16"/>
    </w:rPr>
  </w:style>
  <w:style w:type="paragraph" w:styleId="10">
    <w:name w:val="annotation text"/>
    <w:basedOn w:val="1"/>
    <w:link w:val="28"/>
    <w:qFormat/>
    <w:uiPriority w:val="99"/>
    <w:pPr>
      <w:spacing w:after="0" w:line="240" w:lineRule="auto"/>
      <w:jc w:val="both"/>
    </w:pPr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paragraph" w:styleId="11">
    <w:name w:val="annotation subject"/>
    <w:basedOn w:val="10"/>
    <w:next w:val="10"/>
    <w:link w:val="30"/>
    <w:semiHidden/>
    <w:unhideWhenUsed/>
    <w:uiPriority w:val="99"/>
    <w:pPr>
      <w:spacing w:after="200"/>
      <w:jc w:val="left"/>
    </w:pPr>
    <w:rPr>
      <w:rFonts w:asciiTheme="minorHAnsi" w:hAnsiTheme="minorHAnsi" w:eastAsiaTheme="minorHAnsi" w:cstheme="minorBidi"/>
      <w:b/>
      <w:bCs/>
      <w:color w:val="auto"/>
      <w:lang w:eastAsia="en-US"/>
    </w:rPr>
  </w:style>
  <w:style w:type="paragraph" w:styleId="12">
    <w:name w:val="footer"/>
    <w:basedOn w:val="1"/>
    <w:link w:val="22"/>
    <w:uiPriority w:val="9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character" w:styleId="13">
    <w:name w:val="footnote reference"/>
    <w:semiHidden/>
    <w:unhideWhenUsed/>
    <w:uiPriority w:val="99"/>
    <w:rPr>
      <w:vertAlign w:val="superscript"/>
    </w:rPr>
  </w:style>
  <w:style w:type="paragraph" w:styleId="14">
    <w:name w:val="head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5">
    <w:name w:val="Hyperlink"/>
    <w:basedOn w:val="5"/>
    <w:unhideWhenUsed/>
    <w:qFormat/>
    <w:uiPriority w:val="99"/>
    <w:rPr>
      <w:color w:val="0000FF"/>
      <w:u w:val="single"/>
    </w:rPr>
  </w:style>
  <w:style w:type="character" w:styleId="16">
    <w:name w:val="page number"/>
    <w:basedOn w:val="5"/>
    <w:uiPriority w:val="99"/>
    <w:rPr>
      <w:rFonts w:cs="Times New Roman"/>
    </w:rPr>
  </w:style>
  <w:style w:type="table" w:styleId="1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oc 1"/>
    <w:basedOn w:val="1"/>
    <w:next w:val="1"/>
    <w:unhideWhenUsed/>
    <w:qFormat/>
    <w:uiPriority w:val="39"/>
    <w:pPr>
      <w:spacing w:after="100"/>
    </w:pPr>
  </w:style>
  <w:style w:type="paragraph" w:styleId="19">
    <w:name w:val="toc 2"/>
    <w:basedOn w:val="1"/>
    <w:next w:val="1"/>
    <w:unhideWhenUsed/>
    <w:uiPriority w:val="39"/>
    <w:pPr>
      <w:spacing w:after="100"/>
      <w:ind w:left="220"/>
    </w:pPr>
  </w:style>
  <w:style w:type="paragraph" w:styleId="20">
    <w:name w:val="toc 3"/>
    <w:basedOn w:val="1"/>
    <w:next w:val="1"/>
    <w:unhideWhenUsed/>
    <w:qFormat/>
    <w:uiPriority w:val="39"/>
    <w:pPr>
      <w:spacing w:after="100"/>
      <w:ind w:left="440"/>
    </w:pPr>
  </w:style>
  <w:style w:type="character" w:customStyle="1" w:styleId="21">
    <w:name w:val="Hlavička Char"/>
    <w:basedOn w:val="5"/>
    <w:link w:val="14"/>
    <w:uiPriority w:val="99"/>
  </w:style>
  <w:style w:type="character" w:customStyle="1" w:styleId="22">
    <w:name w:val="Päta Char"/>
    <w:basedOn w:val="5"/>
    <w:link w:val="12"/>
    <w:uiPriority w:val="99"/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customStyle="1" w:styleId="23">
    <w:name w:val="priloha"/>
    <w:basedOn w:val="1"/>
    <w:qFormat/>
    <w:uiPriority w:val="0"/>
    <w:pPr>
      <w:numPr>
        <w:ilvl w:val="0"/>
        <w:numId w:val="1"/>
      </w:numPr>
      <w:tabs>
        <w:tab w:val="left" w:pos="1418"/>
      </w:tabs>
      <w:spacing w:after="120" w:line="240" w:lineRule="auto"/>
      <w:ind w:left="1418"/>
    </w:pPr>
    <w:rPr>
      <w:rFonts w:ascii="Arial" w:hAnsi="Arial" w:eastAsia="Times New Roman" w:cs="Times New Roman"/>
      <w:color w:val="000000"/>
      <w:sz w:val="24"/>
      <w:szCs w:val="24"/>
      <w:lang w:eastAsia="sk-SK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Nadpis 1 Char"/>
    <w:basedOn w:val="5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sk-SK"/>
    </w:rPr>
  </w:style>
  <w:style w:type="character" w:customStyle="1" w:styleId="26">
    <w:name w:val="Nadpis 3 Char"/>
    <w:basedOn w:val="5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customStyle="1" w:styleId="27">
    <w:name w:val="Nadpis 4 Char"/>
    <w:basedOn w:val="5"/>
    <w:link w:val="4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customStyle="1" w:styleId="28">
    <w:name w:val="Text komentára Char"/>
    <w:basedOn w:val="5"/>
    <w:link w:val="10"/>
    <w:uiPriority w:val="99"/>
    <w:rPr>
      <w:rFonts w:ascii="Arial" w:hAnsi="Arial" w:eastAsia="Times New Roman" w:cs="Times New Roman"/>
      <w:color w:val="000000"/>
      <w:sz w:val="20"/>
      <w:szCs w:val="20"/>
      <w:lang w:eastAsia="sk-SK"/>
    </w:rPr>
  </w:style>
  <w:style w:type="character" w:customStyle="1" w:styleId="29">
    <w:name w:val="Text bubliny Char"/>
    <w:basedOn w:val="5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30">
    <w:name w:val="Predmet komentára Char"/>
    <w:basedOn w:val="28"/>
    <w:link w:val="11"/>
    <w:semiHidden/>
    <w:uiPriority w:val="99"/>
    <w:rPr>
      <w:rFonts w:ascii="Arial" w:hAnsi="Arial" w:eastAsia="Times New Roman" w:cs="Times New Roman"/>
      <w:b/>
      <w:bCs/>
      <w:color w:val="000000"/>
      <w:sz w:val="20"/>
      <w:szCs w:val="20"/>
      <w:lang w:eastAsia="sk-SK"/>
    </w:rPr>
  </w:style>
  <w:style w:type="paragraph" w:styleId="3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paragraph" w:customStyle="1" w:styleId="3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  <w:style w:type="table" w:customStyle="1" w:styleId="33">
    <w:name w:val="Mriežka tabuľky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Základný text 2 Char"/>
    <w:basedOn w:val="5"/>
    <w:link w:val="8"/>
    <w:semiHidden/>
    <w:uiPriority w:val="0"/>
    <w:rPr>
      <w:rFonts w:ascii="Calibri" w:hAnsi="Calibri" w:eastAsia="Calibri" w:cs="Times New Roman"/>
      <w:i/>
      <w:color w:val="FF00FF"/>
      <w:sz w:val="20"/>
      <w:lang w:val="zh-CN"/>
    </w:rPr>
  </w:style>
  <w:style w:type="paragraph" w:customStyle="1" w:styleId="35">
    <w:name w:val="Odstavec se seznamem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5226-7A1A-4AF7-BC3B-9585F44A17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2459</Words>
  <Characters>14017</Characters>
  <Lines>116</Lines>
  <Paragraphs>32</Paragraphs>
  <TotalTime>1</TotalTime>
  <ScaleCrop>false</ScaleCrop>
  <LinksUpToDate>false</LinksUpToDate>
  <CharactersWithSpaces>16444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2023-07-12T08:02:00Z</dcterms:created>
  <dc:creator>Giba Tomáš</dc:creator>
  <cp:lastModifiedBy>Katarína Bugáňová</cp:lastModifiedBy>
  <cp:lastPrinted>2017-01-03T10:45:00Z</cp:lastPrinted>
  <dcterms:modified xsi:type="dcterms:W3CDTF">2024-01-07T20:50:15Z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3B65B8154B364A06AD1EF06FF66B9C5A_13</vt:lpwstr>
  </property>
</Properties>
</file>